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445DF" w14:textId="77777777" w:rsidR="00441F69" w:rsidRPr="00501F42" w:rsidRDefault="00441F69" w:rsidP="00441F69">
      <w:pPr>
        <w:jc w:val="center"/>
        <w:rPr>
          <w:rFonts w:ascii="Times New Roman" w:hAnsi="Times New Roman"/>
          <w:b/>
          <w:color w:val="000000" w:themeColor="text1"/>
        </w:rPr>
      </w:pPr>
      <w:r w:rsidRPr="00501F42">
        <w:rPr>
          <w:rFonts w:ascii="Times New Roman" w:hAnsi="Times New Roman"/>
          <w:b/>
          <w:color w:val="000000" w:themeColor="text1"/>
        </w:rPr>
        <w:t>Karta przedmiotu</w:t>
      </w:r>
    </w:p>
    <w:p w14:paraId="78A952C7" w14:textId="77777777" w:rsidR="00441F69" w:rsidRPr="00501F42" w:rsidRDefault="00441F69" w:rsidP="00441F69">
      <w:pPr>
        <w:tabs>
          <w:tab w:val="left" w:pos="3360"/>
          <w:tab w:val="center" w:pos="4536"/>
        </w:tabs>
        <w:rPr>
          <w:rFonts w:ascii="Times New Roman" w:hAnsi="Times New Roman"/>
          <w:b/>
          <w:color w:val="000000" w:themeColor="text1"/>
        </w:rPr>
      </w:pPr>
      <w:r w:rsidRPr="00501F42">
        <w:rPr>
          <w:rFonts w:ascii="Times New Roman" w:hAnsi="Times New Roman"/>
          <w:b/>
          <w:color w:val="000000" w:themeColor="text1"/>
        </w:rPr>
        <w:tab/>
      </w:r>
      <w:r w:rsidRPr="00501F42">
        <w:rPr>
          <w:rFonts w:ascii="Times New Roman" w:hAnsi="Times New Roman"/>
          <w:b/>
          <w:color w:val="000000" w:themeColor="text1"/>
        </w:rPr>
        <w:tab/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1332"/>
        <w:gridCol w:w="1275"/>
        <w:gridCol w:w="2893"/>
      </w:tblGrid>
      <w:tr w:rsidR="003917B6" w:rsidRPr="00501F42" w14:paraId="3D89F199" w14:textId="77777777" w:rsidTr="00FB408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2D9832C" w14:textId="77777777" w:rsidR="00441F69" w:rsidRPr="00501F42" w:rsidRDefault="00441F69" w:rsidP="00FB408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01F42">
              <w:rPr>
                <w:rFonts w:ascii="Times New Roman" w:hAnsi="Times New Roman"/>
                <w:b/>
                <w:color w:val="000000" w:themeColor="text1"/>
              </w:rPr>
              <w:t>Informacje ogólne o przedmiocie</w:t>
            </w:r>
          </w:p>
        </w:tc>
      </w:tr>
      <w:tr w:rsidR="003917B6" w:rsidRPr="00501F42" w14:paraId="2CB07B71" w14:textId="77777777" w:rsidTr="00FB408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006406A" w14:textId="06C26DF3" w:rsidR="00441F69" w:rsidRPr="00501F42" w:rsidRDefault="00441F69" w:rsidP="00FB408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b/>
                <w:color w:val="000000" w:themeColor="text1"/>
              </w:rPr>
              <w:t>1. Kierunek studiów:</w:t>
            </w:r>
            <w:r w:rsidR="00B7765A" w:rsidRPr="00501F42">
              <w:rPr>
                <w:rFonts w:ascii="Times New Roman" w:hAnsi="Times New Roman"/>
                <w:color w:val="000000" w:themeColor="text1"/>
              </w:rPr>
              <w:t xml:space="preserve"> Zdrowie Publiczne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AE20770" w14:textId="0C9C6A20" w:rsidR="00441F69" w:rsidRPr="00501F42" w:rsidRDefault="00441F69" w:rsidP="00FB408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b/>
                <w:color w:val="000000" w:themeColor="text1"/>
              </w:rPr>
              <w:t>2. Poziom kształcenia:</w:t>
            </w:r>
            <w:r w:rsidRPr="00501F4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F60244" w:rsidRPr="00501F42">
              <w:rPr>
                <w:rFonts w:ascii="Times New Roman" w:hAnsi="Times New Roman"/>
                <w:color w:val="000000" w:themeColor="text1"/>
              </w:rPr>
              <w:t xml:space="preserve">studia </w:t>
            </w:r>
            <w:r w:rsidRPr="00501F42">
              <w:rPr>
                <w:rFonts w:ascii="Times New Roman" w:hAnsi="Times New Roman"/>
                <w:color w:val="000000" w:themeColor="text1"/>
              </w:rPr>
              <w:t>I</w:t>
            </w:r>
            <w:r w:rsidR="00B7765A" w:rsidRPr="00501F42">
              <w:rPr>
                <w:rFonts w:ascii="Times New Roman" w:hAnsi="Times New Roman"/>
                <w:color w:val="000000" w:themeColor="text1"/>
              </w:rPr>
              <w:t>I</w:t>
            </w:r>
            <w:r w:rsidRPr="00501F4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F60244" w:rsidRPr="00501F42">
              <w:rPr>
                <w:rFonts w:ascii="Times New Roman" w:hAnsi="Times New Roman"/>
                <w:color w:val="000000" w:themeColor="text1"/>
              </w:rPr>
              <w:t>stopnia</w:t>
            </w:r>
          </w:p>
          <w:p w14:paraId="0C4420F1" w14:textId="6A6D3F76" w:rsidR="00441F69" w:rsidRPr="00501F42" w:rsidRDefault="00441F69" w:rsidP="00FB408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b/>
                <w:color w:val="000000" w:themeColor="text1"/>
              </w:rPr>
              <w:t>3. Forma studiów:</w:t>
            </w:r>
            <w:r w:rsidRPr="00501F4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127E26">
              <w:rPr>
                <w:rFonts w:ascii="Times New Roman" w:hAnsi="Times New Roman"/>
                <w:color w:val="000000" w:themeColor="text1"/>
              </w:rPr>
              <w:t>nie</w:t>
            </w:r>
            <w:bookmarkStart w:id="0" w:name="_GoBack"/>
            <w:bookmarkEnd w:id="0"/>
            <w:r w:rsidR="0031682B" w:rsidRPr="00501F42">
              <w:rPr>
                <w:rFonts w:ascii="Times New Roman" w:hAnsi="Times New Roman"/>
                <w:color w:val="000000" w:themeColor="text1"/>
              </w:rPr>
              <w:t>stacjonarne</w:t>
            </w:r>
            <w:r w:rsidR="0031682B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</w:tr>
      <w:tr w:rsidR="003917B6" w:rsidRPr="00501F42" w14:paraId="552174EC" w14:textId="77777777" w:rsidTr="00FB408A">
        <w:tc>
          <w:tcPr>
            <w:tcW w:w="4192" w:type="dxa"/>
            <w:gridSpan w:val="2"/>
          </w:tcPr>
          <w:p w14:paraId="097C793E" w14:textId="66B82A41" w:rsidR="00441F69" w:rsidRPr="00501F42" w:rsidRDefault="00441F69" w:rsidP="00FB408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</w:rPr>
            </w:pPr>
            <w:r w:rsidRPr="00501F42">
              <w:rPr>
                <w:rFonts w:ascii="Times New Roman" w:hAnsi="Times New Roman"/>
                <w:b/>
                <w:color w:val="000000" w:themeColor="text1"/>
              </w:rPr>
              <w:t>4. Rok:</w:t>
            </w:r>
            <w:r w:rsidR="00F60244" w:rsidRPr="00501F42">
              <w:rPr>
                <w:rFonts w:ascii="Times New Roman" w:hAnsi="Times New Roman"/>
                <w:color w:val="000000" w:themeColor="text1"/>
              </w:rPr>
              <w:t xml:space="preserve"> 1</w:t>
            </w:r>
          </w:p>
        </w:tc>
        <w:tc>
          <w:tcPr>
            <w:tcW w:w="5500" w:type="dxa"/>
            <w:gridSpan w:val="3"/>
          </w:tcPr>
          <w:p w14:paraId="0743F52D" w14:textId="7187188A" w:rsidR="00441F69" w:rsidRPr="00501F42" w:rsidRDefault="00441F69" w:rsidP="00FB408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b/>
                <w:color w:val="000000" w:themeColor="text1"/>
              </w:rPr>
              <w:t xml:space="preserve">5. Semestr: </w:t>
            </w:r>
            <w:r w:rsidR="00B7765A" w:rsidRPr="00501F42"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3917B6" w:rsidRPr="00501F42" w14:paraId="38FE107B" w14:textId="77777777" w:rsidTr="00FB408A">
        <w:tc>
          <w:tcPr>
            <w:tcW w:w="9692" w:type="dxa"/>
            <w:gridSpan w:val="5"/>
          </w:tcPr>
          <w:p w14:paraId="7F8F56B3" w14:textId="1023A5B6" w:rsidR="00441F69" w:rsidRPr="00501F42" w:rsidRDefault="00441F69" w:rsidP="00B7765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b/>
                <w:color w:val="000000" w:themeColor="text1"/>
              </w:rPr>
              <w:t>6. Nazwa przedmiotu:</w:t>
            </w:r>
            <w:r w:rsidRPr="00501F4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550B15" w:rsidRPr="00501F42">
              <w:rPr>
                <w:rFonts w:ascii="Times New Roman" w:hAnsi="Times New Roman"/>
                <w:color w:val="000000" w:themeColor="text1"/>
              </w:rPr>
              <w:t>Toksykologia</w:t>
            </w:r>
          </w:p>
        </w:tc>
      </w:tr>
      <w:tr w:rsidR="003917B6" w:rsidRPr="00501F42" w14:paraId="5B506029" w14:textId="77777777" w:rsidTr="00FB408A">
        <w:tc>
          <w:tcPr>
            <w:tcW w:w="9692" w:type="dxa"/>
            <w:gridSpan w:val="5"/>
          </w:tcPr>
          <w:p w14:paraId="05CB177A" w14:textId="291BFFD1" w:rsidR="00441F69" w:rsidRPr="00501F42" w:rsidRDefault="00441F69" w:rsidP="00FB408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b/>
                <w:color w:val="000000" w:themeColor="text1"/>
              </w:rPr>
              <w:t>7. Status przedmiotu:</w:t>
            </w:r>
            <w:r w:rsidRPr="00501F4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F60244" w:rsidRPr="00501F42">
              <w:rPr>
                <w:rFonts w:ascii="Times New Roman" w:hAnsi="Times New Roman"/>
                <w:color w:val="000000" w:themeColor="text1"/>
              </w:rPr>
              <w:t>specjalnościowy/fakultatywny</w:t>
            </w:r>
          </w:p>
        </w:tc>
      </w:tr>
      <w:tr w:rsidR="003917B6" w:rsidRPr="00501F42" w14:paraId="6E930360" w14:textId="77777777" w:rsidTr="00FB408A">
        <w:trPr>
          <w:trHeight w:val="320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7EC82C58" w14:textId="77777777" w:rsidR="00441F69" w:rsidRPr="00501F42" w:rsidRDefault="00441F69" w:rsidP="00FB408A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501F42">
              <w:rPr>
                <w:rFonts w:ascii="Times New Roman" w:hAnsi="Times New Roman"/>
                <w:b/>
                <w:color w:val="000000" w:themeColor="text1"/>
              </w:rPr>
              <w:t>8. </w:t>
            </w:r>
            <w:r w:rsidRPr="00501F42">
              <w:rPr>
                <w:rFonts w:ascii="Times New Roman" w:hAnsi="Times New Roman"/>
                <w:b/>
                <w:bCs/>
                <w:color w:val="000000" w:themeColor="text1"/>
              </w:rPr>
              <w:t>Treści programowe przedmiotu i przypisane do nich efekty uczenia się</w:t>
            </w:r>
          </w:p>
          <w:p w14:paraId="3585F19E" w14:textId="5F98AA3F" w:rsidR="00F60244" w:rsidRPr="00501F42" w:rsidRDefault="00F60244" w:rsidP="00FB408A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3917B6" w:rsidRPr="00501F42" w14:paraId="7E96325A" w14:textId="77777777" w:rsidTr="00FB408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1BE06872" w14:textId="20200629" w:rsidR="00441F69" w:rsidRPr="00501F42" w:rsidRDefault="00DC1A70" w:rsidP="00F6024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Poznanie podstawowych zagadnień z toksykologii w odniesieniu do środowiska pracy.</w:t>
            </w:r>
          </w:p>
          <w:p w14:paraId="07991702" w14:textId="77777777" w:rsidR="003917B6" w:rsidRPr="00501F42" w:rsidRDefault="003917B6" w:rsidP="00F6024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14:paraId="4E2965DF" w14:textId="59E65891" w:rsidR="003917B6" w:rsidRPr="00501F42" w:rsidRDefault="003917B6" w:rsidP="003917B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P_W01, P_W02, P_W03, P_W04, P_W05:</w:t>
            </w:r>
          </w:p>
          <w:p w14:paraId="38A4C581" w14:textId="77777777" w:rsidR="003917B6" w:rsidRPr="00501F42" w:rsidRDefault="003917B6" w:rsidP="00391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 xml:space="preserve">Pojęcie toksykologii, toksyczności substancji, rys historyczny toksykologii oraz toksykologia współczesna. </w:t>
            </w:r>
          </w:p>
          <w:p w14:paraId="2439BCB5" w14:textId="77777777" w:rsidR="003917B6" w:rsidRPr="00501F42" w:rsidRDefault="003917B6" w:rsidP="00391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 xml:space="preserve">Czynniki wpływające na toksyczność ksenobiotyków. </w:t>
            </w:r>
          </w:p>
          <w:p w14:paraId="5609333C" w14:textId="77777777" w:rsidR="003917B6" w:rsidRPr="00501F42" w:rsidRDefault="003917B6" w:rsidP="00391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Interakcje ksenobiotyków.</w:t>
            </w:r>
          </w:p>
          <w:p w14:paraId="39FF6993" w14:textId="77777777" w:rsidR="003917B6" w:rsidRPr="00501F42" w:rsidRDefault="003917B6" w:rsidP="00391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Biomarkery ekspozycji, skutku, wrażliwości.</w:t>
            </w:r>
          </w:p>
          <w:p w14:paraId="16821202" w14:textId="77777777" w:rsidR="003917B6" w:rsidRPr="00501F42" w:rsidRDefault="003917B6" w:rsidP="00391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Toksykometria.</w:t>
            </w:r>
          </w:p>
          <w:p w14:paraId="72DCEA93" w14:textId="77777777" w:rsidR="003917B6" w:rsidRPr="00501F42" w:rsidRDefault="003917B6" w:rsidP="00B6738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 xml:space="preserve">Toksykologia zawodowa. </w:t>
            </w:r>
          </w:p>
          <w:p w14:paraId="18626E53" w14:textId="4D0278B1" w:rsidR="003917B6" w:rsidRPr="00501F42" w:rsidRDefault="003917B6" w:rsidP="00B6738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Elementy analizy toksykologicznej.</w:t>
            </w:r>
          </w:p>
          <w:p w14:paraId="4E28D303" w14:textId="6E7EFAA5" w:rsidR="003917B6" w:rsidRPr="00501F42" w:rsidRDefault="003917B6" w:rsidP="003917B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P_U01:</w:t>
            </w:r>
          </w:p>
          <w:p w14:paraId="55CC782D" w14:textId="77777777" w:rsidR="003917B6" w:rsidRPr="00501F42" w:rsidRDefault="003917B6" w:rsidP="003917B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Theme="minorHAnsi" w:hAnsi="Times New Roman"/>
                <w:color w:val="000000" w:themeColor="text1"/>
              </w:rPr>
            </w:pPr>
            <w:r w:rsidRPr="00501F42">
              <w:rPr>
                <w:rFonts w:ascii="Times New Roman" w:eastAsiaTheme="minorHAnsi" w:hAnsi="Times New Roman"/>
                <w:color w:val="000000" w:themeColor="text1"/>
              </w:rPr>
              <w:t>Podstawy toksykologii zawodowej (toksykometria, pojęcia NOAEL, LOAEL, NDS, NDSCh).</w:t>
            </w:r>
          </w:p>
          <w:p w14:paraId="202B42B2" w14:textId="77777777" w:rsidR="003917B6" w:rsidRPr="00501F42" w:rsidRDefault="003917B6" w:rsidP="003917B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Theme="minorHAnsi" w:hAnsi="Times New Roman"/>
                <w:color w:val="000000" w:themeColor="text1"/>
              </w:rPr>
            </w:pPr>
            <w:r w:rsidRPr="00501F42">
              <w:rPr>
                <w:rFonts w:ascii="Times New Roman" w:eastAsiaTheme="minorHAnsi" w:hAnsi="Times New Roman"/>
                <w:color w:val="000000" w:themeColor="text1"/>
              </w:rPr>
              <w:t>Toksyczność metali i półmetali w aspekcie narażenia zawodowego.</w:t>
            </w:r>
          </w:p>
          <w:p w14:paraId="36AA732B" w14:textId="77777777" w:rsidR="003917B6" w:rsidRPr="00501F42" w:rsidRDefault="003917B6" w:rsidP="003917B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Theme="minorHAnsi" w:hAnsi="Times New Roman"/>
                <w:color w:val="000000" w:themeColor="text1"/>
              </w:rPr>
            </w:pPr>
            <w:r w:rsidRPr="00501F42">
              <w:rPr>
                <w:rFonts w:ascii="Times New Roman" w:eastAsiaTheme="minorHAnsi" w:hAnsi="Times New Roman"/>
                <w:color w:val="000000" w:themeColor="text1"/>
              </w:rPr>
              <w:t>Toksyczność niemetali i ich związków w aspekcie narażenia zawodowego.</w:t>
            </w:r>
          </w:p>
          <w:p w14:paraId="4410FD8E" w14:textId="77777777" w:rsidR="003917B6" w:rsidRPr="00501F42" w:rsidRDefault="003917B6" w:rsidP="003917B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Theme="minorHAnsi" w:hAnsi="Times New Roman"/>
                <w:color w:val="000000" w:themeColor="text1"/>
              </w:rPr>
            </w:pPr>
            <w:r w:rsidRPr="00501F42">
              <w:rPr>
                <w:rFonts w:ascii="Times New Roman" w:eastAsiaTheme="minorHAnsi" w:hAnsi="Times New Roman"/>
                <w:color w:val="000000" w:themeColor="text1"/>
              </w:rPr>
              <w:t>Toksyczność rozpuszczalników w aspekcie narażenia zawodowego.</w:t>
            </w:r>
          </w:p>
          <w:p w14:paraId="4FC5A7F1" w14:textId="77777777" w:rsidR="003917B6" w:rsidRPr="00501F42" w:rsidRDefault="003917B6" w:rsidP="003917B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Theme="minorHAnsi" w:hAnsi="Times New Roman"/>
                <w:color w:val="000000" w:themeColor="text1"/>
              </w:rPr>
            </w:pPr>
            <w:r w:rsidRPr="00501F42">
              <w:rPr>
                <w:rFonts w:ascii="Times New Roman" w:eastAsiaTheme="minorHAnsi" w:hAnsi="Times New Roman"/>
                <w:color w:val="000000" w:themeColor="text1"/>
              </w:rPr>
              <w:t>Toksykologia pestycydów w aspekcie narażenia zawodowego.</w:t>
            </w:r>
          </w:p>
          <w:p w14:paraId="56A628B1" w14:textId="2EBE2607" w:rsidR="003917B6" w:rsidRPr="00501F42" w:rsidRDefault="003917B6" w:rsidP="003917B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Theme="minorHAnsi" w:hAnsi="Times New Roman"/>
                <w:color w:val="000000" w:themeColor="text1"/>
              </w:rPr>
            </w:pPr>
            <w:r w:rsidRPr="00501F42">
              <w:rPr>
                <w:rFonts w:ascii="Times New Roman" w:eastAsiaTheme="minorHAnsi" w:hAnsi="Times New Roman"/>
                <w:color w:val="000000" w:themeColor="text1"/>
              </w:rPr>
              <w:t>Rośliny toksyczne, grzyby trujące, trucizny pochodzenia zwierzęcego</w:t>
            </w:r>
          </w:p>
          <w:p w14:paraId="601B7687" w14:textId="77777777" w:rsidR="003917B6" w:rsidRPr="00501F42" w:rsidRDefault="003917B6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14:paraId="5E43FFBB" w14:textId="5BAB63CC" w:rsidR="00441F69" w:rsidRPr="00501F42" w:rsidRDefault="003917B6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P_K01:</w:t>
            </w:r>
          </w:p>
          <w:p w14:paraId="1C2252F8" w14:textId="77777777" w:rsidR="003917B6" w:rsidRPr="00501F42" w:rsidRDefault="003917B6" w:rsidP="003917B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Przeliczanie stężeń.</w:t>
            </w:r>
          </w:p>
          <w:p w14:paraId="6BD5C012" w14:textId="77777777" w:rsidR="003917B6" w:rsidRPr="00501F42" w:rsidRDefault="003917B6" w:rsidP="003917B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Obliczanie toksyczności ostrej ksenobiotyków.</w:t>
            </w:r>
          </w:p>
          <w:p w14:paraId="0236536D" w14:textId="77777777" w:rsidR="003917B6" w:rsidRPr="00501F42" w:rsidRDefault="003917B6" w:rsidP="003917B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Interpretacja wskaźników farmakokinetycznych, farmakodynamicznych.</w:t>
            </w:r>
          </w:p>
          <w:p w14:paraId="792B2AD3" w14:textId="77777777" w:rsidR="003917B6" w:rsidRPr="00501F42" w:rsidRDefault="003917B6" w:rsidP="003917B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Oszacowanie pobrania metali ciężkich i węglowodorów polichlorowych z racją pokarmową.</w:t>
            </w:r>
          </w:p>
          <w:p w14:paraId="6D592C3D" w14:textId="77777777" w:rsidR="003917B6" w:rsidRPr="00501F42" w:rsidRDefault="003917B6" w:rsidP="003917B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Pomiar CO i CO</w:t>
            </w:r>
            <w:r w:rsidRPr="00501F42">
              <w:rPr>
                <w:rFonts w:ascii="Times New Roman" w:hAnsi="Times New Roman"/>
                <w:color w:val="000000" w:themeColor="text1"/>
                <w:vertAlign w:val="subscript"/>
              </w:rPr>
              <w:t xml:space="preserve">2 </w:t>
            </w:r>
            <w:r w:rsidRPr="00501F42">
              <w:rPr>
                <w:rFonts w:ascii="Times New Roman" w:hAnsi="Times New Roman"/>
                <w:color w:val="000000" w:themeColor="text1"/>
              </w:rPr>
              <w:t>w pomieszczeniach.</w:t>
            </w:r>
          </w:p>
          <w:p w14:paraId="6718CC54" w14:textId="7202B7FC" w:rsidR="003917B6" w:rsidRPr="00501F42" w:rsidRDefault="003917B6" w:rsidP="003917B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Wyznaczanie bezpiecznych wartości wybranych substancji chemicznych obecnych na stanowiskach pracy.</w:t>
            </w:r>
          </w:p>
          <w:p w14:paraId="3156B659" w14:textId="77777777" w:rsidR="003917B6" w:rsidRPr="00501F42" w:rsidRDefault="003917B6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14:paraId="71B686D1" w14:textId="3F2100CD" w:rsidR="00441F69" w:rsidRPr="00501F42" w:rsidRDefault="00441F69" w:rsidP="00FB408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501F42">
              <w:rPr>
                <w:rFonts w:ascii="Times New Roman" w:hAnsi="Times New Roman"/>
                <w:b/>
                <w:color w:val="000000" w:themeColor="text1"/>
              </w:rPr>
              <w:t>Efekty uczenia się/odniesienie do efektów uczenia się zawartych w standardach</w:t>
            </w:r>
          </w:p>
          <w:p w14:paraId="70288E6A" w14:textId="77777777" w:rsidR="00F60244" w:rsidRPr="00501F42" w:rsidRDefault="00F60244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14:paraId="025EF09F" w14:textId="00A7A0FF" w:rsidR="00441F69" w:rsidRPr="00501F42" w:rsidRDefault="00441F69" w:rsidP="00FB408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 xml:space="preserve">w zakresie wiedzy student zna i rozumie: </w:t>
            </w:r>
            <w:r w:rsidR="00F60244" w:rsidRPr="00501F42">
              <w:rPr>
                <w:rFonts w:ascii="Times New Roman" w:hAnsi="Times New Roman"/>
                <w:color w:val="000000" w:themeColor="text1"/>
              </w:rPr>
              <w:br/>
              <w:t>P_W01</w:t>
            </w:r>
            <w:r w:rsidR="003828D3" w:rsidRPr="00501F42">
              <w:rPr>
                <w:rFonts w:ascii="Times New Roman" w:hAnsi="Times New Roman"/>
                <w:color w:val="000000" w:themeColor="text1"/>
              </w:rPr>
              <w:t xml:space="preserve"> (K_W01; K_W02):</w:t>
            </w:r>
            <w:r w:rsidR="003828D3" w:rsidRPr="00501F42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 xml:space="preserve"> Zna wybrane substancje toksyczne  występujące w  środowisku  pracy; a  także  ich mechanizmy działania.</w:t>
            </w:r>
          </w:p>
          <w:p w14:paraId="39D80804" w14:textId="77777777" w:rsidR="003828D3" w:rsidRPr="00501F42" w:rsidRDefault="003828D3" w:rsidP="00FB408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  <w:p w14:paraId="27B88359" w14:textId="2FB84FD5" w:rsidR="003828D3" w:rsidRPr="00501F42" w:rsidRDefault="003828D3" w:rsidP="00FB408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501F42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P_W02 (K_W02): Zna pojęcie toksyczności substancji i źródła zatruć zawodowych oraz czynniki decydujące o toksyczności rozmaitych substancji chemicznych występujących w środowisku pracy.</w:t>
            </w:r>
          </w:p>
          <w:p w14:paraId="4CDB5D2B" w14:textId="16921CB5" w:rsidR="003828D3" w:rsidRPr="00501F42" w:rsidRDefault="003828D3" w:rsidP="00FB408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  <w:p w14:paraId="7E63F64F" w14:textId="6AF386BB" w:rsidR="003828D3" w:rsidRPr="00501F42" w:rsidRDefault="003828D3" w:rsidP="00FB408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501F42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 xml:space="preserve">P_W03 (K_W01; K_W02; K_U03): Ma umiejętność  oceny  skutków  zdrowotnych  wynikających z narażenia  na  czynniki  chemiczne. </w:t>
            </w:r>
          </w:p>
          <w:p w14:paraId="1B849E42" w14:textId="49B81A39" w:rsidR="003828D3" w:rsidRPr="00501F42" w:rsidRDefault="003828D3" w:rsidP="00FB408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  <w:p w14:paraId="36D2EB27" w14:textId="7A2760DC" w:rsidR="003828D3" w:rsidRPr="00501F42" w:rsidRDefault="003828D3" w:rsidP="00FB408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501F42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P_W04 (K_W04; K_W30): Zna sposoby oceny  i  interpretacji  wyników  oznaczeń  stężeń  czynników  toksycznych  w  środowisku  na  podstawie  istniejących  danych  literaturowych.</w:t>
            </w:r>
          </w:p>
          <w:p w14:paraId="191D43E3" w14:textId="756D38C2" w:rsidR="003828D3" w:rsidRPr="00501F42" w:rsidRDefault="003828D3" w:rsidP="00FB408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  <w:p w14:paraId="3D47BCBE" w14:textId="6101C560" w:rsidR="003828D3" w:rsidRPr="00501F42" w:rsidRDefault="003828D3" w:rsidP="00FB408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501F42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lastRenderedPageBreak/>
              <w:t>P_W05 (K_W04): Zna oznakowanie substancji toksycznych; zwłaszcza rakotwórczych i mutagennych.</w:t>
            </w:r>
          </w:p>
          <w:p w14:paraId="37104849" w14:textId="77777777" w:rsidR="003828D3" w:rsidRPr="00501F42" w:rsidRDefault="003828D3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14:paraId="0F41BE6F" w14:textId="6ABA49CD" w:rsidR="00441F69" w:rsidRPr="00501F42" w:rsidRDefault="00441F69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w zakresie um</w:t>
            </w:r>
            <w:r w:rsidR="00B63F8E" w:rsidRPr="00501F42">
              <w:rPr>
                <w:rFonts w:ascii="Times New Roman" w:hAnsi="Times New Roman"/>
                <w:color w:val="000000" w:themeColor="text1"/>
              </w:rPr>
              <w:t>iejętności student potrafi</w:t>
            </w:r>
          </w:p>
          <w:p w14:paraId="07AE2507" w14:textId="5AF06AB6" w:rsidR="00B63F8E" w:rsidRPr="00501F42" w:rsidRDefault="00B63F8E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P_U01 (K_U03): Potrafi ocenić i prognozować skutki zdrowotne w następstwie narażenia na szkodliwe czynniki środowiska.</w:t>
            </w:r>
          </w:p>
          <w:p w14:paraId="2C8ED842" w14:textId="7F0B2687" w:rsidR="00B63F8E" w:rsidRPr="00501F42" w:rsidRDefault="00B63F8E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14:paraId="69D1FEFA" w14:textId="77777777" w:rsidR="00B63F8E" w:rsidRPr="00501F42" w:rsidRDefault="00B63F8E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14:paraId="6833646B" w14:textId="21DCF08B" w:rsidR="00441F69" w:rsidRPr="00501F42" w:rsidRDefault="00441F69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w zakresie kompetencji społecznych student jest gotów do</w:t>
            </w:r>
            <w:r w:rsidR="00B63F8E" w:rsidRPr="00501F42">
              <w:rPr>
                <w:rFonts w:ascii="Times New Roman" w:hAnsi="Times New Roman"/>
                <w:color w:val="000000" w:themeColor="text1"/>
              </w:rPr>
              <w:t>:</w:t>
            </w:r>
          </w:p>
          <w:p w14:paraId="200DF828" w14:textId="76EA6E91" w:rsidR="00B63F8E" w:rsidRPr="00501F42" w:rsidRDefault="00B63F8E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P_K01 (K_U03): Ma świadomość pełnionej roli społecznej w zakresie identyfikacji czynników ryzyka i oceny ryzyka zdrowia.</w:t>
            </w:r>
          </w:p>
          <w:p w14:paraId="3A594024" w14:textId="77777777" w:rsidR="00B63F8E" w:rsidRPr="00501F42" w:rsidRDefault="00B63F8E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14:paraId="1CF5038E" w14:textId="77777777" w:rsidR="00441F69" w:rsidRPr="00501F42" w:rsidRDefault="00441F69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3917B6" w:rsidRPr="00501F42" w14:paraId="3DE5FD2D" w14:textId="77777777" w:rsidTr="003917B6">
        <w:tc>
          <w:tcPr>
            <w:tcW w:w="5524" w:type="dxa"/>
            <w:gridSpan w:val="3"/>
            <w:vAlign w:val="center"/>
          </w:tcPr>
          <w:p w14:paraId="6316A9BE" w14:textId="31842EC0" w:rsidR="00441F69" w:rsidRPr="00501F42" w:rsidRDefault="007C18E7" w:rsidP="00FB408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501F42">
              <w:rPr>
                <w:rFonts w:ascii="Times New Roman" w:hAnsi="Times New Roman"/>
                <w:b/>
                <w:color w:val="000000" w:themeColor="text1"/>
              </w:rPr>
              <w:lastRenderedPageBreak/>
              <w:t>9. liczba godzin z przedmiotu</w:t>
            </w:r>
          </w:p>
        </w:tc>
        <w:tc>
          <w:tcPr>
            <w:tcW w:w="4168" w:type="dxa"/>
            <w:gridSpan w:val="2"/>
            <w:vAlign w:val="center"/>
          </w:tcPr>
          <w:p w14:paraId="777AD262" w14:textId="2E014717" w:rsidR="00441F69" w:rsidRPr="000F1B2D" w:rsidRDefault="00B63F8E" w:rsidP="00FB408A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F1B2D">
              <w:rPr>
                <w:rFonts w:ascii="Times New Roman" w:hAnsi="Times New Roman"/>
                <w:b/>
                <w:color w:val="000000" w:themeColor="text1"/>
              </w:rPr>
              <w:t xml:space="preserve">90 godzin (w tym kontaktowych: </w:t>
            </w:r>
            <w:r w:rsidR="000F1B2D" w:rsidRPr="000F1B2D">
              <w:rPr>
                <w:rFonts w:ascii="Times New Roman" w:hAnsi="Times New Roman"/>
                <w:b/>
                <w:color w:val="000000" w:themeColor="text1"/>
              </w:rPr>
              <w:t>3</w:t>
            </w:r>
            <w:r w:rsidR="00264CFF" w:rsidRPr="000F1B2D">
              <w:rPr>
                <w:rFonts w:ascii="Times New Roman" w:hAnsi="Times New Roman"/>
                <w:b/>
                <w:color w:val="000000" w:themeColor="text1"/>
              </w:rPr>
              <w:t>0</w:t>
            </w:r>
            <w:r w:rsidRPr="000F1B2D">
              <w:rPr>
                <w:rFonts w:ascii="Times New Roman" w:hAnsi="Times New Roman"/>
                <w:b/>
                <w:color w:val="000000" w:themeColor="text1"/>
              </w:rPr>
              <w:t>)</w:t>
            </w:r>
          </w:p>
        </w:tc>
      </w:tr>
      <w:tr w:rsidR="003917B6" w:rsidRPr="00501F42" w14:paraId="580825BF" w14:textId="77777777" w:rsidTr="003917B6">
        <w:tc>
          <w:tcPr>
            <w:tcW w:w="5524" w:type="dxa"/>
            <w:gridSpan w:val="3"/>
            <w:vAlign w:val="center"/>
          </w:tcPr>
          <w:p w14:paraId="3B2E7FB0" w14:textId="751E39C4" w:rsidR="00441F69" w:rsidRPr="00501F42" w:rsidRDefault="00441F69" w:rsidP="00FB408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501F42">
              <w:rPr>
                <w:rFonts w:ascii="Times New Roman" w:hAnsi="Times New Roman"/>
                <w:b/>
                <w:color w:val="000000" w:themeColor="text1"/>
              </w:rPr>
              <w:t>10. liczba punktów ECTS dla przedmiotu</w:t>
            </w:r>
            <w:r w:rsidR="007C18E7" w:rsidRPr="00501F42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4168" w:type="dxa"/>
            <w:gridSpan w:val="2"/>
            <w:vAlign w:val="center"/>
          </w:tcPr>
          <w:p w14:paraId="01E562B3" w14:textId="72B0B072" w:rsidR="00441F69" w:rsidRPr="000F1B2D" w:rsidRDefault="00DC1A70" w:rsidP="00FB408A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F1B2D">
              <w:rPr>
                <w:rFonts w:ascii="Times New Roman" w:hAnsi="Times New Roman"/>
                <w:b/>
                <w:color w:val="000000" w:themeColor="text1"/>
              </w:rPr>
              <w:t>3</w:t>
            </w:r>
          </w:p>
        </w:tc>
      </w:tr>
      <w:tr w:rsidR="003917B6" w:rsidRPr="00501F42" w14:paraId="60B55A82" w14:textId="77777777" w:rsidTr="00FB408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9CFD7C" w14:textId="77777777" w:rsidR="00441F69" w:rsidRPr="00501F42" w:rsidRDefault="00441F69" w:rsidP="00FB408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</w:rPr>
            </w:pPr>
            <w:r w:rsidRPr="00501F42">
              <w:rPr>
                <w:rFonts w:ascii="Times New Roman" w:hAnsi="Times New Roman"/>
                <w:b/>
                <w:color w:val="000000" w:themeColor="text1"/>
              </w:rPr>
              <w:t xml:space="preserve">11. Sposoby weryfikacji i oceny efektów uczenia się </w:t>
            </w:r>
          </w:p>
        </w:tc>
      </w:tr>
      <w:tr w:rsidR="003917B6" w:rsidRPr="00501F42" w14:paraId="289AD5F0" w14:textId="77777777" w:rsidTr="003917B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85E0C9D" w14:textId="77777777" w:rsidR="00441F69" w:rsidRPr="00501F42" w:rsidRDefault="00441F69" w:rsidP="00FB408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Efekty uczenia się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</w:tcBorders>
            <w:vAlign w:val="center"/>
          </w:tcPr>
          <w:p w14:paraId="3B169F47" w14:textId="77777777" w:rsidR="00441F69" w:rsidRPr="00501F42" w:rsidRDefault="00441F69" w:rsidP="00FB40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Sposoby weryfikacji</w:t>
            </w:r>
          </w:p>
        </w:tc>
        <w:tc>
          <w:tcPr>
            <w:tcW w:w="2893" w:type="dxa"/>
            <w:tcBorders>
              <w:top w:val="single" w:sz="4" w:space="0" w:color="auto"/>
            </w:tcBorders>
            <w:vAlign w:val="center"/>
          </w:tcPr>
          <w:p w14:paraId="6DE94221" w14:textId="77777777" w:rsidR="00441F69" w:rsidRPr="00501F42" w:rsidRDefault="00441F69" w:rsidP="00FB40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Sposoby oceny*</w:t>
            </w:r>
          </w:p>
        </w:tc>
      </w:tr>
      <w:tr w:rsidR="003917B6" w:rsidRPr="00501F42" w14:paraId="4328A9E5" w14:textId="77777777" w:rsidTr="003917B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70E2C08" w14:textId="77777777" w:rsidR="00441F69" w:rsidRPr="00501F42" w:rsidRDefault="00441F69" w:rsidP="00FB408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W zakresie wiedzy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</w:tcBorders>
            <w:vAlign w:val="center"/>
          </w:tcPr>
          <w:p w14:paraId="2B20E81E" w14:textId="6FE8BB46" w:rsidR="00441F69" w:rsidRPr="00501F42" w:rsidRDefault="00AC00D4" w:rsidP="008B065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  <w:lang w:eastAsia="pl-PL"/>
              </w:rPr>
              <w:t xml:space="preserve">Rozbudowany egzamin pisemny obejmujący pytania testowe zamknięte, pytania otwarte </w:t>
            </w:r>
            <w:r w:rsidRPr="00501F42">
              <w:rPr>
                <w:rFonts w:ascii="Times New Roman" w:hAnsi="Times New Roman"/>
                <w:color w:val="000000" w:themeColor="text1"/>
              </w:rPr>
              <w:t>oraz pytania w rodzaju prawda-fałsz</w:t>
            </w:r>
          </w:p>
        </w:tc>
        <w:tc>
          <w:tcPr>
            <w:tcW w:w="2893" w:type="dxa"/>
            <w:tcBorders>
              <w:top w:val="single" w:sz="4" w:space="0" w:color="auto"/>
            </w:tcBorders>
            <w:vAlign w:val="center"/>
          </w:tcPr>
          <w:p w14:paraId="28759D84" w14:textId="77777777" w:rsidR="00441F69" w:rsidRPr="00501F42" w:rsidRDefault="00441F69" w:rsidP="00FB408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501F42">
              <w:rPr>
                <w:rFonts w:ascii="Times New Roman" w:hAnsi="Times New Roman"/>
                <w:b/>
                <w:color w:val="000000" w:themeColor="text1"/>
              </w:rPr>
              <w:t>*</w:t>
            </w:r>
          </w:p>
        </w:tc>
      </w:tr>
      <w:tr w:rsidR="003917B6" w:rsidRPr="00501F42" w14:paraId="000EA438" w14:textId="77777777" w:rsidTr="003917B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A0A80F9" w14:textId="77777777" w:rsidR="00441F69" w:rsidRPr="00501F42" w:rsidRDefault="00441F69" w:rsidP="00FB408A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W zakresie umiejętności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</w:tcBorders>
            <w:vAlign w:val="center"/>
          </w:tcPr>
          <w:p w14:paraId="2074FA15" w14:textId="77777777" w:rsidR="00AC00D4" w:rsidRPr="00501F42" w:rsidRDefault="00AC00D4" w:rsidP="00AC00D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regularna ocena aktywności podczas zajęć seminaryjnych i ćwiczeniowych – odpowiedzi ustne, przygotowane referaty oceniane w zakresie treści merytorycznej</w:t>
            </w:r>
          </w:p>
          <w:p w14:paraId="48955300" w14:textId="11CA7EF3" w:rsidR="00441F69" w:rsidRPr="00501F42" w:rsidRDefault="00441F69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93" w:type="dxa"/>
            <w:tcBorders>
              <w:top w:val="single" w:sz="4" w:space="0" w:color="auto"/>
            </w:tcBorders>
            <w:vAlign w:val="center"/>
          </w:tcPr>
          <w:p w14:paraId="239E0410" w14:textId="77777777" w:rsidR="00441F69" w:rsidRPr="00501F42" w:rsidRDefault="00441F69" w:rsidP="00FB408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501F42">
              <w:rPr>
                <w:rFonts w:ascii="Times New Roman" w:hAnsi="Times New Roman"/>
                <w:b/>
                <w:color w:val="000000" w:themeColor="text1"/>
              </w:rPr>
              <w:t>*</w:t>
            </w:r>
          </w:p>
        </w:tc>
      </w:tr>
      <w:tr w:rsidR="003917B6" w:rsidRPr="00501F42" w14:paraId="339B057D" w14:textId="77777777" w:rsidTr="003917B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CBEB9FB" w14:textId="77777777" w:rsidR="00441F69" w:rsidRPr="00501F42" w:rsidRDefault="00441F69" w:rsidP="00FB408A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W zakresie kompetencji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</w:tcBorders>
            <w:vAlign w:val="center"/>
          </w:tcPr>
          <w:p w14:paraId="4BF1B085" w14:textId="654CD2CB" w:rsidR="00441F69" w:rsidRPr="00501F42" w:rsidRDefault="00AC00D4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Obserwacja, ocena przygotowywanych referatów pod względem umiejętności podziału obowiązków w grupie i formy prezentacji</w:t>
            </w:r>
          </w:p>
        </w:tc>
        <w:tc>
          <w:tcPr>
            <w:tcW w:w="2893" w:type="dxa"/>
            <w:tcBorders>
              <w:top w:val="single" w:sz="4" w:space="0" w:color="auto"/>
            </w:tcBorders>
            <w:vAlign w:val="center"/>
          </w:tcPr>
          <w:p w14:paraId="120DB9BB" w14:textId="77777777" w:rsidR="00441F69" w:rsidRPr="00501F42" w:rsidRDefault="00441F69" w:rsidP="00FB408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501F42">
              <w:rPr>
                <w:rFonts w:ascii="Times New Roman" w:hAnsi="Times New Roman"/>
                <w:b/>
                <w:color w:val="000000" w:themeColor="text1"/>
              </w:rPr>
              <w:t>*</w:t>
            </w:r>
          </w:p>
        </w:tc>
      </w:tr>
    </w:tbl>
    <w:p w14:paraId="6BDD8388" w14:textId="77777777" w:rsidR="00441F69" w:rsidRPr="00501F42" w:rsidRDefault="00441F69" w:rsidP="00441F69">
      <w:pPr>
        <w:rPr>
          <w:rFonts w:ascii="Times New Roman" w:hAnsi="Times New Roman"/>
          <w:color w:val="000000" w:themeColor="text1"/>
        </w:rPr>
      </w:pPr>
    </w:p>
    <w:p w14:paraId="7B0C44B4" w14:textId="77777777" w:rsidR="00AC00D4" w:rsidRPr="00501F42" w:rsidRDefault="00AC00D4" w:rsidP="00AC00D4">
      <w:pPr>
        <w:rPr>
          <w:rFonts w:ascii="Times New Roman" w:hAnsi="Times New Roman"/>
          <w:color w:val="000000" w:themeColor="text1"/>
        </w:rPr>
      </w:pPr>
      <w:r w:rsidRPr="00501F42">
        <w:rPr>
          <w:rFonts w:ascii="Times New Roman" w:hAnsi="Times New Roman"/>
          <w:b/>
          <w:color w:val="000000" w:themeColor="text1"/>
        </w:rPr>
        <w:t>*</w:t>
      </w:r>
      <w:r w:rsidRPr="00501F42">
        <w:rPr>
          <w:rFonts w:ascii="Times New Roman" w:hAnsi="Times New Roman"/>
          <w:color w:val="000000" w:themeColor="text1"/>
        </w:rPr>
        <w:t xml:space="preserve">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dotyczy oceny obserwacyjnej):</w:t>
      </w:r>
      <w:r w:rsidRPr="00501F42">
        <w:rPr>
          <w:rFonts w:ascii="Times New Roman" w:hAnsi="Times New Roman"/>
          <w:color w:val="000000" w:themeColor="text1"/>
        </w:rPr>
        <w:tab/>
      </w:r>
      <w:r w:rsidRPr="00501F42">
        <w:rPr>
          <w:rFonts w:ascii="Times New Roman" w:hAnsi="Times New Roman"/>
          <w:color w:val="000000" w:themeColor="text1"/>
        </w:rPr>
        <w:tab/>
      </w:r>
      <w:r w:rsidRPr="00501F42">
        <w:rPr>
          <w:rFonts w:ascii="Times New Roman" w:hAnsi="Times New Roman"/>
          <w:color w:val="000000" w:themeColor="text1"/>
        </w:rPr>
        <w:tab/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8"/>
      </w:tblGrid>
      <w:tr w:rsidR="003917B6" w:rsidRPr="00501F42" w14:paraId="44B9A441" w14:textId="77777777" w:rsidTr="00313B6B"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B4AB59" w14:textId="77777777" w:rsidR="00AC00D4" w:rsidRPr="00501F42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ndst (2.0)</w:t>
            </w:r>
            <w:r w:rsidRPr="00501F42">
              <w:rPr>
                <w:rFonts w:ascii="Times New Roman" w:hAnsi="Times New Roman"/>
                <w:color w:val="000000" w:themeColor="text1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1E35D8" w14:textId="77777777" w:rsidR="00AC00D4" w:rsidRPr="00501F42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dst (3.0)</w:t>
            </w:r>
            <w:r w:rsidRPr="00501F42">
              <w:rPr>
                <w:rFonts w:ascii="Times New Roman" w:hAnsi="Times New Roman"/>
                <w:color w:val="000000" w:themeColor="text1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804885E" w14:textId="77777777" w:rsidR="00AC00D4" w:rsidRPr="00501F42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d.db (3.5)</w:t>
            </w:r>
            <w:r w:rsidRPr="00501F42">
              <w:rPr>
                <w:rFonts w:ascii="Times New Roman" w:hAnsi="Times New Roman"/>
                <w:color w:val="000000" w:themeColor="text1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F06360" w14:textId="77777777" w:rsidR="00AC00D4" w:rsidRPr="00501F42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db (4.0)</w:t>
            </w:r>
            <w:r w:rsidRPr="00501F42">
              <w:rPr>
                <w:rFonts w:ascii="Times New Roman" w:hAnsi="Times New Roman"/>
                <w:color w:val="000000" w:themeColor="text1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214301" w14:textId="77777777" w:rsidR="00AC00D4" w:rsidRPr="00501F42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p.db (4.5)</w:t>
            </w:r>
            <w:r w:rsidRPr="00501F42">
              <w:rPr>
                <w:rFonts w:ascii="Times New Roman" w:hAnsi="Times New Roman"/>
                <w:color w:val="000000" w:themeColor="text1"/>
              </w:rPr>
              <w:tab/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4142AC4" w14:textId="77777777" w:rsidR="00AC00D4" w:rsidRPr="00501F42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bdb (5.0)</w:t>
            </w:r>
          </w:p>
        </w:tc>
      </w:tr>
      <w:tr w:rsidR="003917B6" w:rsidRPr="00501F42" w14:paraId="4BDD85F5" w14:textId="77777777" w:rsidTr="00313B6B"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DF2B28" w14:textId="77777777" w:rsidR="00AC00D4" w:rsidRPr="00501F42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poniżej 60%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875355" w14:textId="77777777" w:rsidR="00AC00D4" w:rsidRPr="00501F42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60%-67%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94A763" w14:textId="77777777" w:rsidR="00AC00D4" w:rsidRPr="00501F42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68%-75%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E6740F" w14:textId="77777777" w:rsidR="00AC00D4" w:rsidRPr="00501F42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76%-83%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FF16ED" w14:textId="77777777" w:rsidR="00AC00D4" w:rsidRPr="00501F42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84%-91%</w:t>
            </w:r>
          </w:p>
        </w:tc>
        <w:tc>
          <w:tcPr>
            <w:tcW w:w="1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B1F53C6" w14:textId="77777777" w:rsidR="00AC00D4" w:rsidRPr="00501F42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501F42">
              <w:rPr>
                <w:rFonts w:ascii="Times New Roman" w:hAnsi="Times New Roman"/>
                <w:color w:val="000000" w:themeColor="text1"/>
              </w:rPr>
              <w:t>92%-100%</w:t>
            </w:r>
          </w:p>
        </w:tc>
      </w:tr>
    </w:tbl>
    <w:p w14:paraId="58A734C0" w14:textId="6A0FC09F" w:rsidR="00441F69" w:rsidRPr="00501F42" w:rsidRDefault="006A57C3" w:rsidP="006A57C3">
      <w:pPr>
        <w:rPr>
          <w:rFonts w:ascii="Times New Roman" w:hAnsi="Times New Roman"/>
          <w:color w:val="000000" w:themeColor="text1"/>
        </w:rPr>
      </w:pPr>
      <w:r w:rsidRPr="00501F42">
        <w:rPr>
          <w:rFonts w:ascii="Times New Roman" w:hAnsi="Times New Roman"/>
          <w:color w:val="000000" w:themeColor="text1"/>
        </w:rPr>
        <w:t xml:space="preserve"> </w:t>
      </w:r>
    </w:p>
    <w:p w14:paraId="219FA037" w14:textId="77777777" w:rsidR="00213D2F" w:rsidRPr="00501F42" w:rsidRDefault="00213D2F">
      <w:pPr>
        <w:rPr>
          <w:rFonts w:ascii="Times New Roman" w:hAnsi="Times New Roman"/>
          <w:color w:val="000000" w:themeColor="text1"/>
        </w:rPr>
      </w:pPr>
    </w:p>
    <w:sectPr w:rsidR="00213D2F" w:rsidRPr="00501F42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953A9" w14:textId="77777777" w:rsidR="003069BF" w:rsidRDefault="003069BF" w:rsidP="0031682B">
      <w:pPr>
        <w:spacing w:after="0" w:line="240" w:lineRule="auto"/>
      </w:pPr>
      <w:r>
        <w:separator/>
      </w:r>
    </w:p>
  </w:endnote>
  <w:endnote w:type="continuationSeparator" w:id="0">
    <w:p w14:paraId="29E8A983" w14:textId="77777777" w:rsidR="003069BF" w:rsidRDefault="003069BF" w:rsidP="00316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05AC0" w14:textId="77777777" w:rsidR="003069BF" w:rsidRDefault="003069BF" w:rsidP="0031682B">
      <w:pPr>
        <w:spacing w:after="0" w:line="240" w:lineRule="auto"/>
      </w:pPr>
      <w:r>
        <w:separator/>
      </w:r>
    </w:p>
  </w:footnote>
  <w:footnote w:type="continuationSeparator" w:id="0">
    <w:p w14:paraId="777B8338" w14:textId="77777777" w:rsidR="003069BF" w:rsidRDefault="003069BF" w:rsidP="003168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B6FA9"/>
    <w:multiLevelType w:val="hybridMultilevel"/>
    <w:tmpl w:val="F5DC9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62D6B"/>
    <w:multiLevelType w:val="hybridMultilevel"/>
    <w:tmpl w:val="48DEB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C5313"/>
    <w:multiLevelType w:val="hybridMultilevel"/>
    <w:tmpl w:val="94843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23F89"/>
    <w:multiLevelType w:val="hybridMultilevel"/>
    <w:tmpl w:val="D4A412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95D84"/>
    <w:multiLevelType w:val="hybridMultilevel"/>
    <w:tmpl w:val="1B32D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516F4"/>
    <w:multiLevelType w:val="hybridMultilevel"/>
    <w:tmpl w:val="BE929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13945"/>
    <w:multiLevelType w:val="hybridMultilevel"/>
    <w:tmpl w:val="8B6E5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920F86"/>
    <w:multiLevelType w:val="hybridMultilevel"/>
    <w:tmpl w:val="F5DC9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6352A5"/>
    <w:multiLevelType w:val="hybridMultilevel"/>
    <w:tmpl w:val="7BA60D94"/>
    <w:lvl w:ilvl="0" w:tplc="9E5EF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0711B"/>
    <w:multiLevelType w:val="hybridMultilevel"/>
    <w:tmpl w:val="816A6606"/>
    <w:lvl w:ilvl="0" w:tplc="F34E77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200093"/>
    <w:multiLevelType w:val="hybridMultilevel"/>
    <w:tmpl w:val="8B6E5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C6BC7"/>
    <w:multiLevelType w:val="hybridMultilevel"/>
    <w:tmpl w:val="D4A412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"/>
  </w:num>
  <w:num w:numId="5">
    <w:abstractNumId w:val="11"/>
  </w:num>
  <w:num w:numId="6">
    <w:abstractNumId w:val="10"/>
  </w:num>
  <w:num w:numId="7">
    <w:abstractNumId w:val="0"/>
  </w:num>
  <w:num w:numId="8">
    <w:abstractNumId w:val="4"/>
  </w:num>
  <w:num w:numId="9">
    <w:abstractNumId w:val="2"/>
  </w:num>
  <w:num w:numId="10">
    <w:abstractNumId w:val="3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F69"/>
    <w:rsid w:val="0004479A"/>
    <w:rsid w:val="00086086"/>
    <w:rsid w:val="000E2E37"/>
    <w:rsid w:val="000F1B2D"/>
    <w:rsid w:val="0011291C"/>
    <w:rsid w:val="00127E26"/>
    <w:rsid w:val="00213D2F"/>
    <w:rsid w:val="00264CFF"/>
    <w:rsid w:val="00265D11"/>
    <w:rsid w:val="002B7CD2"/>
    <w:rsid w:val="003069BF"/>
    <w:rsid w:val="0031682B"/>
    <w:rsid w:val="003277D7"/>
    <w:rsid w:val="00332835"/>
    <w:rsid w:val="00355C1A"/>
    <w:rsid w:val="003828D3"/>
    <w:rsid w:val="003917B6"/>
    <w:rsid w:val="00397878"/>
    <w:rsid w:val="003C0EDF"/>
    <w:rsid w:val="003C5A6D"/>
    <w:rsid w:val="003E7422"/>
    <w:rsid w:val="00441F69"/>
    <w:rsid w:val="00501F42"/>
    <w:rsid w:val="00550B15"/>
    <w:rsid w:val="0059572B"/>
    <w:rsid w:val="005D4A5E"/>
    <w:rsid w:val="00612847"/>
    <w:rsid w:val="006976E1"/>
    <w:rsid w:val="006A57C3"/>
    <w:rsid w:val="007207DD"/>
    <w:rsid w:val="007C18E7"/>
    <w:rsid w:val="008309B7"/>
    <w:rsid w:val="00830F3B"/>
    <w:rsid w:val="008A6D84"/>
    <w:rsid w:val="008B0652"/>
    <w:rsid w:val="008E6AB9"/>
    <w:rsid w:val="00956DBD"/>
    <w:rsid w:val="009863E1"/>
    <w:rsid w:val="00A04DFC"/>
    <w:rsid w:val="00A62B62"/>
    <w:rsid w:val="00A95DC1"/>
    <w:rsid w:val="00AA5E21"/>
    <w:rsid w:val="00AC00D4"/>
    <w:rsid w:val="00AF4195"/>
    <w:rsid w:val="00B3740D"/>
    <w:rsid w:val="00B63F8E"/>
    <w:rsid w:val="00B7765A"/>
    <w:rsid w:val="00B86EE3"/>
    <w:rsid w:val="00C107E1"/>
    <w:rsid w:val="00C511A6"/>
    <w:rsid w:val="00C86978"/>
    <w:rsid w:val="00CB1BA0"/>
    <w:rsid w:val="00CC5F6E"/>
    <w:rsid w:val="00CC7896"/>
    <w:rsid w:val="00CE793D"/>
    <w:rsid w:val="00D200AC"/>
    <w:rsid w:val="00D52CD3"/>
    <w:rsid w:val="00DA3A84"/>
    <w:rsid w:val="00DC1A70"/>
    <w:rsid w:val="00E35AA1"/>
    <w:rsid w:val="00E529E5"/>
    <w:rsid w:val="00EA01E0"/>
    <w:rsid w:val="00EA0888"/>
    <w:rsid w:val="00EF017A"/>
    <w:rsid w:val="00F33A29"/>
    <w:rsid w:val="00F60244"/>
    <w:rsid w:val="00F92B6B"/>
    <w:rsid w:val="00FE36D8"/>
    <w:rsid w:val="00FF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292E1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441F69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1F69"/>
    <w:pPr>
      <w:ind w:left="720"/>
      <w:contextualSpacing/>
    </w:pPr>
  </w:style>
  <w:style w:type="character" w:customStyle="1" w:styleId="Bodytext2">
    <w:name w:val="Body text (2)_"/>
    <w:basedOn w:val="Domylnaczcionkaakapitu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0">
    <w:name w:val="Body text (2)"/>
    <w:basedOn w:val="Bodytext2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pl-PL" w:eastAsia="pl-PL" w:bidi="pl-PL"/>
    </w:rPr>
  </w:style>
  <w:style w:type="character" w:customStyle="1" w:styleId="Bodytext28pt">
    <w:name w:val="Body text (2) + 8 pt"/>
    <w:basedOn w:val="Bodytext2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Bodytext2105ptBold">
    <w:name w:val="Body text (2) + 10.5 pt;Bold"/>
    <w:basedOn w:val="Bodytext2"/>
    <w:rsid w:val="00265D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96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555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Waliczek</dc:creator>
  <cp:keywords/>
  <dc:description/>
  <cp:lastModifiedBy>Łukasz Sękowski</cp:lastModifiedBy>
  <cp:revision>35</cp:revision>
  <dcterms:created xsi:type="dcterms:W3CDTF">2020-01-27T18:26:00Z</dcterms:created>
  <dcterms:modified xsi:type="dcterms:W3CDTF">2020-03-04T21:35:00Z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210792-6e5f-4945-9946-e33b2c1b77aa_Enabled">
    <vt:lpwstr>True</vt:lpwstr>
  </property>
  <property fmtid="{D5CDD505-2E9C-101B-9397-08002B2CF9AE}" pid="3" name="MSIP_Label_f5210792-6e5f-4945-9946-e33b2c1b77aa_SiteId">
    <vt:lpwstr>21f195bc-13e5-4339-82ea-ef8b8ecdd0a9</vt:lpwstr>
  </property>
  <property fmtid="{D5CDD505-2E9C-101B-9397-08002B2CF9AE}" pid="4" name="MSIP_Label_f5210792-6e5f-4945-9946-e33b2c1b77aa_Owner">
    <vt:lpwstr>asekowl@adient.com</vt:lpwstr>
  </property>
  <property fmtid="{D5CDD505-2E9C-101B-9397-08002B2CF9AE}" pid="5" name="MSIP_Label_f5210792-6e5f-4945-9946-e33b2c1b77aa_SetDate">
    <vt:lpwstr>2020-03-04T21:31:07.0506985Z</vt:lpwstr>
  </property>
  <property fmtid="{D5CDD505-2E9C-101B-9397-08002B2CF9AE}" pid="6" name="MSIP_Label_f5210792-6e5f-4945-9946-e33b2c1b77aa_Name">
    <vt:lpwstr>Internal</vt:lpwstr>
  </property>
  <property fmtid="{D5CDD505-2E9C-101B-9397-08002B2CF9AE}" pid="7" name="MSIP_Label_f5210792-6e5f-4945-9946-e33b2c1b77aa_Application">
    <vt:lpwstr>Microsoft Azure Information Protection</vt:lpwstr>
  </property>
  <property fmtid="{D5CDD505-2E9C-101B-9397-08002B2CF9AE}" pid="8" name="MSIP_Label_f5210792-6e5f-4945-9946-e33b2c1b77aa_ActionId">
    <vt:lpwstr>363513d7-597d-4052-801b-c7a0482b87f0</vt:lpwstr>
  </property>
  <property fmtid="{D5CDD505-2E9C-101B-9397-08002B2CF9AE}" pid="9" name="MSIP_Label_f5210792-6e5f-4945-9946-e33b2c1b77aa_Extended_MSFT_Method">
    <vt:lpwstr>Automatic</vt:lpwstr>
  </property>
  <property fmtid="{D5CDD505-2E9C-101B-9397-08002B2CF9AE}" pid="10" name="MSIP_Label_dd77c177-921f-4c67-aad2-9844fb8189cd_Enabled">
    <vt:lpwstr>True</vt:lpwstr>
  </property>
  <property fmtid="{D5CDD505-2E9C-101B-9397-08002B2CF9AE}" pid="11" name="MSIP_Label_dd77c177-921f-4c67-aad2-9844fb8189cd_SiteId">
    <vt:lpwstr>21f195bc-13e5-4339-82ea-ef8b8ecdd0a9</vt:lpwstr>
  </property>
  <property fmtid="{D5CDD505-2E9C-101B-9397-08002B2CF9AE}" pid="12" name="MSIP_Label_dd77c177-921f-4c67-aad2-9844fb8189cd_Owner">
    <vt:lpwstr>asekowl@adient.com</vt:lpwstr>
  </property>
  <property fmtid="{D5CDD505-2E9C-101B-9397-08002B2CF9AE}" pid="13" name="MSIP_Label_dd77c177-921f-4c67-aad2-9844fb8189cd_SetDate">
    <vt:lpwstr>2020-03-04T21:31:07.0506985Z</vt:lpwstr>
  </property>
  <property fmtid="{D5CDD505-2E9C-101B-9397-08002B2CF9AE}" pid="14" name="MSIP_Label_dd77c177-921f-4c67-aad2-9844fb8189cd_Name">
    <vt:lpwstr>Adient INTERNAL</vt:lpwstr>
  </property>
  <property fmtid="{D5CDD505-2E9C-101B-9397-08002B2CF9AE}" pid="15" name="MSIP_Label_dd77c177-921f-4c67-aad2-9844fb8189cd_Application">
    <vt:lpwstr>Microsoft Azure Information Protection</vt:lpwstr>
  </property>
  <property fmtid="{D5CDD505-2E9C-101B-9397-08002B2CF9AE}" pid="16" name="MSIP_Label_dd77c177-921f-4c67-aad2-9844fb8189cd_ActionId">
    <vt:lpwstr>363513d7-597d-4052-801b-c7a0482b87f0</vt:lpwstr>
  </property>
  <property fmtid="{D5CDD505-2E9C-101B-9397-08002B2CF9AE}" pid="17" name="MSIP_Label_dd77c177-921f-4c67-aad2-9844fb8189cd_Parent">
    <vt:lpwstr>f5210792-6e5f-4945-9946-e33b2c1b77aa</vt:lpwstr>
  </property>
  <property fmtid="{D5CDD505-2E9C-101B-9397-08002B2CF9AE}" pid="18" name="MSIP_Label_dd77c177-921f-4c67-aad2-9844fb8189cd_Extended_MSFT_Method">
    <vt:lpwstr>Automatic</vt:lpwstr>
  </property>
  <property fmtid="{D5CDD505-2E9C-101B-9397-08002B2CF9AE}" pid="19" name="Sensitivity">
    <vt:lpwstr>Internal Adient INTERNAL</vt:lpwstr>
  </property>
</Properties>
</file>